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4410" w14:textId="799DFA2A" w:rsidR="00063D33" w:rsidRPr="00063D33" w:rsidRDefault="00063D33" w:rsidP="00063D33">
      <w:pPr>
        <w:pStyle w:val="Default"/>
        <w:rPr>
          <w:b/>
          <w:bCs/>
          <w:color w:val="auto"/>
          <w:sz w:val="20"/>
          <w:szCs w:val="20"/>
        </w:rPr>
      </w:pPr>
      <w:r>
        <w:rPr>
          <w:b/>
          <w:bCs/>
          <w:sz w:val="20"/>
          <w:szCs w:val="20"/>
        </w:rPr>
        <w:t>Z „Przewodnika po programie Erasmus+”</w:t>
      </w:r>
      <w:r w:rsidRPr="00063D33">
        <w:rPr>
          <w:rFonts w:ascii="Tahoma" w:hAnsi="Tahoma" w:cs="Tahoma"/>
          <w:color w:val="auto"/>
          <w:sz w:val="20"/>
          <w:szCs w:val="20"/>
        </w:rPr>
        <w:t xml:space="preserve"> Wersja 1 (2022): 24-11-2021</w:t>
      </w:r>
    </w:p>
    <w:p w14:paraId="2001C6F4" w14:textId="20482BF6" w:rsidR="00063D33" w:rsidRDefault="00063D33" w:rsidP="00063D33">
      <w:pPr>
        <w:pStyle w:val="Default"/>
        <w:rPr>
          <w:b/>
          <w:bCs/>
          <w:sz w:val="20"/>
          <w:szCs w:val="20"/>
        </w:rPr>
      </w:pPr>
      <w:r>
        <w:rPr>
          <w:b/>
          <w:bCs/>
          <w:sz w:val="20"/>
          <w:szCs w:val="20"/>
        </w:rPr>
        <w:t xml:space="preserve">Część B, Akcja 1 </w:t>
      </w:r>
    </w:p>
    <w:p w14:paraId="0DE1C542" w14:textId="29591AF8" w:rsidR="00063D33" w:rsidRDefault="00063D33" w:rsidP="00063D33">
      <w:pPr>
        <w:pStyle w:val="Default"/>
        <w:rPr>
          <w:b/>
          <w:bCs/>
          <w:sz w:val="20"/>
          <w:szCs w:val="20"/>
        </w:rPr>
      </w:pPr>
    </w:p>
    <w:p w14:paraId="5A6C5317" w14:textId="77777777" w:rsidR="00063D33" w:rsidRDefault="00063D33" w:rsidP="00063D33">
      <w:pPr>
        <w:pStyle w:val="Default"/>
        <w:rPr>
          <w:b/>
          <w:bCs/>
          <w:sz w:val="20"/>
          <w:szCs w:val="20"/>
        </w:rPr>
      </w:pPr>
    </w:p>
    <w:p w14:paraId="5A7101B5" w14:textId="406052E3" w:rsidR="00063D33" w:rsidRDefault="00063D33" w:rsidP="00063D33">
      <w:pPr>
        <w:pStyle w:val="Default"/>
        <w:rPr>
          <w:b/>
          <w:bCs/>
          <w:sz w:val="20"/>
          <w:szCs w:val="20"/>
        </w:rPr>
      </w:pPr>
      <w:r>
        <w:rPr>
          <w:b/>
          <w:bCs/>
          <w:sz w:val="20"/>
          <w:szCs w:val="20"/>
        </w:rPr>
        <w:t>Stron</w:t>
      </w:r>
      <w:r w:rsidR="00A824E7">
        <w:rPr>
          <w:b/>
          <w:bCs/>
          <w:sz w:val="20"/>
          <w:szCs w:val="20"/>
        </w:rPr>
        <w:t>a</w:t>
      </w:r>
      <w:r>
        <w:rPr>
          <w:b/>
          <w:bCs/>
          <w:sz w:val="20"/>
          <w:szCs w:val="20"/>
        </w:rPr>
        <w:t xml:space="preserve"> 51 -</w:t>
      </w:r>
      <w:r w:rsidR="00A824E7">
        <w:rPr>
          <w:b/>
          <w:bCs/>
          <w:sz w:val="20"/>
          <w:szCs w:val="20"/>
        </w:rPr>
        <w:t xml:space="preserve"> </w:t>
      </w:r>
      <w:r>
        <w:rPr>
          <w:b/>
          <w:bCs/>
          <w:sz w:val="20"/>
          <w:szCs w:val="20"/>
        </w:rPr>
        <w:t xml:space="preserve">Mieszane </w:t>
      </w:r>
      <w:r w:rsidR="00C66B06">
        <w:rPr>
          <w:b/>
          <w:bCs/>
          <w:sz w:val="20"/>
          <w:szCs w:val="20"/>
        </w:rPr>
        <w:t>P</w:t>
      </w:r>
      <w:r>
        <w:rPr>
          <w:b/>
          <w:bCs/>
          <w:sz w:val="20"/>
          <w:szCs w:val="20"/>
        </w:rPr>
        <w:t xml:space="preserve">rogramy </w:t>
      </w:r>
      <w:r w:rsidR="00C66B06">
        <w:rPr>
          <w:b/>
          <w:bCs/>
          <w:sz w:val="20"/>
          <w:szCs w:val="20"/>
        </w:rPr>
        <w:t>I</w:t>
      </w:r>
      <w:r>
        <w:rPr>
          <w:b/>
          <w:bCs/>
          <w:sz w:val="20"/>
          <w:szCs w:val="20"/>
        </w:rPr>
        <w:t xml:space="preserve">ntensywne </w:t>
      </w:r>
    </w:p>
    <w:p w14:paraId="21BEF947" w14:textId="77777777" w:rsidR="00AC59CD" w:rsidRDefault="00AC59CD" w:rsidP="00063D33">
      <w:pPr>
        <w:pStyle w:val="Default"/>
        <w:rPr>
          <w:sz w:val="20"/>
          <w:szCs w:val="20"/>
        </w:rPr>
      </w:pPr>
    </w:p>
    <w:p w14:paraId="3C5B564B" w14:textId="01D710FB" w:rsidR="00063D33" w:rsidRDefault="00063D33" w:rsidP="00AC59CD">
      <w:pPr>
        <w:jc w:val="both"/>
        <w:rPr>
          <w:sz w:val="20"/>
          <w:szCs w:val="20"/>
        </w:rPr>
      </w:pPr>
      <w:r>
        <w:rPr>
          <w:sz w:val="20"/>
          <w:szCs w:val="20"/>
        </w:rPr>
        <w:t xml:space="preserve">Są to </w:t>
      </w:r>
      <w:r w:rsidRPr="00180EFF">
        <w:rPr>
          <w:b/>
          <w:bCs/>
          <w:sz w:val="20"/>
          <w:szCs w:val="20"/>
        </w:rPr>
        <w:t>krótkie intensywne programy</w:t>
      </w:r>
      <w:r>
        <w:rPr>
          <w:sz w:val="20"/>
          <w:szCs w:val="20"/>
        </w:rPr>
        <w:t xml:space="preserve">, w ramach których wykorzystuje się innowacyjne metody uczenia się i nauczania, w tym współpracę </w:t>
      </w:r>
      <w:r>
        <w:rPr>
          <w:i/>
          <w:iCs/>
          <w:sz w:val="20"/>
          <w:szCs w:val="20"/>
        </w:rPr>
        <w:t>online</w:t>
      </w:r>
      <w:r>
        <w:rPr>
          <w:sz w:val="20"/>
          <w:szCs w:val="20"/>
        </w:rPr>
        <w:t xml:space="preserve">. Programy mogą obejmować uczenie się w oparciu o wyzwania, w ramach którego transnarodowe i </w:t>
      </w:r>
      <w:proofErr w:type="spellStart"/>
      <w:r>
        <w:rPr>
          <w:sz w:val="20"/>
          <w:szCs w:val="20"/>
        </w:rPr>
        <w:t>transdyscyplinarne</w:t>
      </w:r>
      <w:proofErr w:type="spellEnd"/>
      <w:r>
        <w:rPr>
          <w:sz w:val="20"/>
          <w:szCs w:val="20"/>
        </w:rPr>
        <w:t xml:space="preserve"> zespoły współpracują ze sobą, aby sprostać pewnym wyzwaniom, na przykład związanym z celami zrównoważonego rozwoju ONZ lub innym wyzwaniom społecznym, przed jakimi stają konkretne regiony, miasta lub przedsiębiorstwa. Intensywny program </w:t>
      </w:r>
      <w:r w:rsidRPr="00180EFF">
        <w:rPr>
          <w:b/>
          <w:bCs/>
          <w:sz w:val="20"/>
          <w:szCs w:val="20"/>
        </w:rPr>
        <w:t>powinien mieć wartość dodaną w porównaniu z istniejącymi kursami lub szkoleniami</w:t>
      </w:r>
      <w:r>
        <w:rPr>
          <w:sz w:val="20"/>
          <w:szCs w:val="20"/>
        </w:rPr>
        <w:t xml:space="preserve"> oferowanymi przez uczestniczące w nim instytucje szkolnictwa wyższego i może on trwać kilka lat. Przez zapewnienie nowych i bardziej elastycznych formatów mobilności łączących mobilność fizyczną z wirtualną mieszane programy intensywne mają na celu dotarcie do wszystkich rodzajów studentów ze wszystkich środowisk, kierunków i cykli studiów.</w:t>
      </w:r>
    </w:p>
    <w:p w14:paraId="533C822B" w14:textId="7DE0C377" w:rsidR="00063D33" w:rsidRDefault="00063D33" w:rsidP="00AC59CD">
      <w:pPr>
        <w:pStyle w:val="Default"/>
        <w:jc w:val="both"/>
        <w:rPr>
          <w:sz w:val="20"/>
          <w:szCs w:val="20"/>
        </w:rPr>
      </w:pPr>
      <w:r>
        <w:rPr>
          <w:sz w:val="20"/>
          <w:szCs w:val="20"/>
        </w:rPr>
        <w:t xml:space="preserve">Grupy instytucji szkolnictwa wyższego będą miały możliwość zorganizowania krótkich mieszanych programów intensywnych w zakresie uczenia się, nauczania i szkolenia </w:t>
      </w:r>
      <w:r w:rsidRPr="00180EFF">
        <w:rPr>
          <w:b/>
          <w:bCs/>
          <w:sz w:val="20"/>
          <w:szCs w:val="20"/>
        </w:rPr>
        <w:t>dla studentów i pracowników</w:t>
      </w:r>
      <w:r>
        <w:rPr>
          <w:sz w:val="20"/>
          <w:szCs w:val="20"/>
        </w:rPr>
        <w:t xml:space="preserve">. Podczas tych mieszanych programów intensywnych grupy studentów lub pracowników w charakterze osób uczących się będą realizować </w:t>
      </w:r>
      <w:r w:rsidRPr="00180EFF">
        <w:rPr>
          <w:b/>
          <w:bCs/>
          <w:sz w:val="20"/>
          <w:szCs w:val="20"/>
        </w:rPr>
        <w:t>krótkotrwałą mobilność fizyczną za granicą połączoną z obowiązkowym komponentem wirtualnym</w:t>
      </w:r>
      <w:r>
        <w:rPr>
          <w:sz w:val="20"/>
          <w:szCs w:val="20"/>
        </w:rPr>
        <w:t xml:space="preserve"> umożliwiającym pracę zespołową i wymianę doświadczeń w zakresie e-uczenia się opartego na współpracy. Komponent wirtualny musi zapewniać osobom uczącym się przestrzeń do wspólnej i jednoczesnej pracy </w:t>
      </w:r>
      <w:r>
        <w:rPr>
          <w:i/>
          <w:iCs/>
          <w:sz w:val="20"/>
          <w:szCs w:val="20"/>
        </w:rPr>
        <w:t xml:space="preserve">online </w:t>
      </w:r>
      <w:r>
        <w:rPr>
          <w:sz w:val="20"/>
          <w:szCs w:val="20"/>
        </w:rPr>
        <w:t xml:space="preserve">nad konkretnymi zadaniami, które stanowią część mieszanego programu intensywnego i przyczyniają się do osiągnięcia ogólnych efektów uczenia się. </w:t>
      </w:r>
    </w:p>
    <w:p w14:paraId="32B7A444" w14:textId="77777777" w:rsidR="00180EFF" w:rsidRDefault="00180EFF" w:rsidP="00AC59CD">
      <w:pPr>
        <w:pStyle w:val="Default"/>
        <w:jc w:val="both"/>
        <w:rPr>
          <w:sz w:val="20"/>
          <w:szCs w:val="20"/>
        </w:rPr>
      </w:pPr>
    </w:p>
    <w:p w14:paraId="32B32C47" w14:textId="7876A172" w:rsidR="00063D33" w:rsidRDefault="00063D33" w:rsidP="00AC59CD">
      <w:pPr>
        <w:jc w:val="both"/>
        <w:rPr>
          <w:sz w:val="20"/>
          <w:szCs w:val="20"/>
        </w:rPr>
      </w:pPr>
      <w:r>
        <w:rPr>
          <w:sz w:val="20"/>
          <w:szCs w:val="20"/>
        </w:rPr>
        <w:t xml:space="preserve">Mieszane </w:t>
      </w:r>
      <w:r w:rsidR="00C66B06">
        <w:rPr>
          <w:sz w:val="20"/>
          <w:szCs w:val="20"/>
        </w:rPr>
        <w:t>P</w:t>
      </w:r>
      <w:r>
        <w:rPr>
          <w:sz w:val="20"/>
          <w:szCs w:val="20"/>
        </w:rPr>
        <w:t xml:space="preserve">rogramy </w:t>
      </w:r>
      <w:r w:rsidR="00C66B06">
        <w:rPr>
          <w:sz w:val="20"/>
          <w:szCs w:val="20"/>
        </w:rPr>
        <w:t>I</w:t>
      </w:r>
      <w:r>
        <w:rPr>
          <w:sz w:val="20"/>
          <w:szCs w:val="20"/>
        </w:rPr>
        <w:t xml:space="preserve">ntensywne mogą być dostępne dla studentów i pracowników z instytucji szkolnictwa wyższego spoza partnerstwa. W ramach </w:t>
      </w:r>
      <w:r w:rsidR="00C66B06">
        <w:rPr>
          <w:sz w:val="20"/>
          <w:szCs w:val="20"/>
        </w:rPr>
        <w:t>M</w:t>
      </w:r>
      <w:r>
        <w:rPr>
          <w:sz w:val="20"/>
          <w:szCs w:val="20"/>
        </w:rPr>
        <w:t xml:space="preserve">ieszanych </w:t>
      </w:r>
      <w:r w:rsidR="00C66B06">
        <w:rPr>
          <w:sz w:val="20"/>
          <w:szCs w:val="20"/>
        </w:rPr>
        <w:t>P</w:t>
      </w:r>
      <w:r>
        <w:rPr>
          <w:sz w:val="20"/>
          <w:szCs w:val="20"/>
        </w:rPr>
        <w:t xml:space="preserve">rogramów </w:t>
      </w:r>
      <w:r w:rsidR="00C66B06">
        <w:rPr>
          <w:sz w:val="20"/>
          <w:szCs w:val="20"/>
        </w:rPr>
        <w:t>I</w:t>
      </w:r>
      <w:r>
        <w:rPr>
          <w:sz w:val="20"/>
          <w:szCs w:val="20"/>
        </w:rPr>
        <w:t>ntensywnych buduje się zdolności w zakresie opracowywania i wdrażania innowacyjnych praktyk nauczania i uczenia się w uczestniczących w tych programach instytucjach szkolnictwa wyższego</w:t>
      </w:r>
    </w:p>
    <w:p w14:paraId="41AF54E6" w14:textId="6A8A43F3" w:rsidR="00063D33" w:rsidRDefault="00063D33" w:rsidP="00063D33">
      <w:pPr>
        <w:pStyle w:val="Default"/>
        <w:rPr>
          <w:b/>
          <w:bCs/>
          <w:sz w:val="20"/>
          <w:szCs w:val="20"/>
        </w:rPr>
      </w:pPr>
      <w:r>
        <w:rPr>
          <w:b/>
          <w:bCs/>
          <w:sz w:val="20"/>
          <w:szCs w:val="20"/>
        </w:rPr>
        <w:t>Strona 63 - S</w:t>
      </w:r>
      <w:r>
        <w:rPr>
          <w:b/>
          <w:bCs/>
          <w:sz w:val="16"/>
          <w:szCs w:val="16"/>
        </w:rPr>
        <w:t xml:space="preserve">ZCZEGÓLNE KRYTERIA KWALIFIKOWALNOŚCI MIESZANYCH PROGRAMÓW INTENSYWNYCH </w:t>
      </w:r>
    </w:p>
    <w:p w14:paraId="555DAB73" w14:textId="77777777" w:rsidR="00450D8E" w:rsidRDefault="00450D8E" w:rsidP="00063D33">
      <w:pPr>
        <w:pStyle w:val="Default"/>
        <w:rPr>
          <w:sz w:val="20"/>
          <w:szCs w:val="20"/>
        </w:rPr>
      </w:pPr>
    </w:p>
    <w:tbl>
      <w:tblPr>
        <w:tblStyle w:val="Tabela-Siatka"/>
        <w:tblW w:w="0" w:type="auto"/>
        <w:tblLook w:val="04A0" w:firstRow="1" w:lastRow="0" w:firstColumn="1" w:lastColumn="0" w:noHBand="0" w:noVBand="1"/>
      </w:tblPr>
      <w:tblGrid>
        <w:gridCol w:w="9060"/>
      </w:tblGrid>
      <w:tr w:rsidR="00F82266" w14:paraId="54A8BCB8" w14:textId="77777777" w:rsidTr="00F82266">
        <w:tc>
          <w:tcPr>
            <w:tcW w:w="9062" w:type="dxa"/>
          </w:tcPr>
          <w:p w14:paraId="44CD9A90" w14:textId="77777777" w:rsidR="00F82266" w:rsidRPr="00A824E7" w:rsidRDefault="00F82266" w:rsidP="00450D8E">
            <w:pPr>
              <w:pStyle w:val="Akapitzlist"/>
              <w:numPr>
                <w:ilvl w:val="0"/>
                <w:numId w:val="1"/>
              </w:numPr>
            </w:pPr>
            <w:r>
              <w:rPr>
                <w:b/>
                <w:bCs/>
                <w:sz w:val="20"/>
                <w:szCs w:val="20"/>
              </w:rPr>
              <w:t>Uprawnione organizacje uczestniczące</w:t>
            </w:r>
          </w:p>
          <w:p w14:paraId="4BE96A88" w14:textId="4A589EB6" w:rsidR="00A824E7" w:rsidRPr="00F82266" w:rsidRDefault="00A824E7" w:rsidP="00A824E7">
            <w:pPr>
              <w:pStyle w:val="Akapitzlist"/>
            </w:pPr>
          </w:p>
        </w:tc>
      </w:tr>
      <w:tr w:rsidR="00F82266" w14:paraId="4B1CC11B" w14:textId="77777777" w:rsidTr="00F82266">
        <w:tc>
          <w:tcPr>
            <w:tcW w:w="9062" w:type="dxa"/>
          </w:tcPr>
          <w:p w14:paraId="0B9902A9" w14:textId="56A9C8FB" w:rsidR="00F82266" w:rsidRDefault="00F82266" w:rsidP="008824ED">
            <w:pPr>
              <w:pStyle w:val="Default"/>
              <w:numPr>
                <w:ilvl w:val="0"/>
                <w:numId w:val="3"/>
              </w:numPr>
              <w:jc w:val="both"/>
              <w:rPr>
                <w:sz w:val="20"/>
                <w:szCs w:val="20"/>
              </w:rPr>
            </w:pPr>
            <w:r>
              <w:rPr>
                <w:sz w:val="20"/>
                <w:szCs w:val="20"/>
              </w:rPr>
              <w:t xml:space="preserve">Mieszany </w:t>
            </w:r>
            <w:r w:rsidR="00C66B06">
              <w:rPr>
                <w:sz w:val="20"/>
                <w:szCs w:val="20"/>
              </w:rPr>
              <w:t>P</w:t>
            </w:r>
            <w:r>
              <w:rPr>
                <w:sz w:val="20"/>
                <w:szCs w:val="20"/>
              </w:rPr>
              <w:t xml:space="preserve">rogram </w:t>
            </w:r>
            <w:r w:rsidR="00C66B06">
              <w:rPr>
                <w:sz w:val="20"/>
                <w:szCs w:val="20"/>
              </w:rPr>
              <w:t>I</w:t>
            </w:r>
            <w:r>
              <w:rPr>
                <w:sz w:val="20"/>
                <w:szCs w:val="20"/>
              </w:rPr>
              <w:t xml:space="preserve">ntensywny musi zostać opracowany i wdrożony przez </w:t>
            </w:r>
            <w:r w:rsidRPr="00055025">
              <w:rPr>
                <w:b/>
                <w:bCs/>
                <w:sz w:val="20"/>
                <w:szCs w:val="20"/>
              </w:rPr>
              <w:t>co najmniej trzy instytucje szkolnictwa wyższego</w:t>
            </w:r>
            <w:r>
              <w:rPr>
                <w:sz w:val="20"/>
                <w:szCs w:val="20"/>
              </w:rPr>
              <w:t xml:space="preserve"> z co najmniej trzech państw członkowskich UE i państw trzecich stowarzyszonych z Programem. </w:t>
            </w:r>
          </w:p>
          <w:p w14:paraId="0807CEBC" w14:textId="7F454E0F" w:rsidR="00F82266" w:rsidRDefault="00F82266" w:rsidP="008824ED">
            <w:pPr>
              <w:pStyle w:val="Default"/>
              <w:numPr>
                <w:ilvl w:val="0"/>
                <w:numId w:val="3"/>
              </w:numPr>
              <w:jc w:val="both"/>
              <w:rPr>
                <w:sz w:val="20"/>
                <w:szCs w:val="20"/>
              </w:rPr>
            </w:pPr>
            <w:r w:rsidRPr="00055025">
              <w:rPr>
                <w:sz w:val="20"/>
                <w:szCs w:val="20"/>
              </w:rPr>
              <w:t xml:space="preserve">Ponadto udział polegający na wysłaniu pracowników mogą wziąć inne instytucje szkolnictwa wyższego lub organizacje znajdujące się w państwie członkowskim UE lub państwie trzecim stowarzyszonym z Programem. </w:t>
            </w:r>
          </w:p>
          <w:p w14:paraId="2E92C4C2" w14:textId="6726A55C" w:rsidR="00F82266" w:rsidRDefault="00F82266" w:rsidP="008824ED">
            <w:pPr>
              <w:pStyle w:val="Default"/>
              <w:numPr>
                <w:ilvl w:val="0"/>
                <w:numId w:val="3"/>
              </w:numPr>
              <w:jc w:val="both"/>
              <w:rPr>
                <w:sz w:val="20"/>
                <w:szCs w:val="20"/>
              </w:rPr>
            </w:pPr>
            <w:r w:rsidRPr="00055025">
              <w:rPr>
                <w:sz w:val="20"/>
                <w:szCs w:val="20"/>
              </w:rPr>
              <w:t xml:space="preserve">Instytucja szkolnictwa wyższego wysyłająca studentów i pracowników w charakterze osób uczących się w ramach </w:t>
            </w:r>
            <w:r w:rsidR="00C66B06">
              <w:rPr>
                <w:sz w:val="20"/>
                <w:szCs w:val="20"/>
              </w:rPr>
              <w:t>M</w:t>
            </w:r>
            <w:r w:rsidRPr="00055025">
              <w:rPr>
                <w:sz w:val="20"/>
                <w:szCs w:val="20"/>
              </w:rPr>
              <w:t xml:space="preserve">ieszanych </w:t>
            </w:r>
            <w:r w:rsidR="00C66B06">
              <w:rPr>
                <w:sz w:val="20"/>
                <w:szCs w:val="20"/>
              </w:rPr>
              <w:t>P</w:t>
            </w:r>
            <w:r w:rsidRPr="00055025">
              <w:rPr>
                <w:sz w:val="20"/>
                <w:szCs w:val="20"/>
              </w:rPr>
              <w:t xml:space="preserve">rogramach </w:t>
            </w:r>
            <w:r w:rsidR="00C66B06">
              <w:rPr>
                <w:sz w:val="20"/>
                <w:szCs w:val="20"/>
              </w:rPr>
              <w:t>I</w:t>
            </w:r>
            <w:r w:rsidRPr="00055025">
              <w:rPr>
                <w:sz w:val="20"/>
                <w:szCs w:val="20"/>
              </w:rPr>
              <w:t xml:space="preserve">ntensywnych musi być instytucją szkolnictwa wyższego z państwa członkowskiego UE lub państwa trzeciego stowarzyszonego z Programem posiadającą ECHE lub instytucją szkolnictwa wyższego z państwa trzeciego niestowarzyszonego z Programem uznaną przez właściwe organy, która podpisała porozumienia międzyinstytucjonalne z partnerami z państwa członkowskiego UE lub państwa trzeciego stowarzyszonego z Programem, przed rozpoczęciem mobilności. </w:t>
            </w:r>
          </w:p>
          <w:p w14:paraId="192ED903" w14:textId="77777777" w:rsidR="00055025" w:rsidRDefault="00F82266" w:rsidP="008824ED">
            <w:pPr>
              <w:pStyle w:val="Default"/>
              <w:numPr>
                <w:ilvl w:val="0"/>
                <w:numId w:val="3"/>
              </w:numPr>
              <w:jc w:val="both"/>
              <w:rPr>
                <w:sz w:val="20"/>
                <w:szCs w:val="20"/>
              </w:rPr>
            </w:pPr>
            <w:r w:rsidRPr="00055025">
              <w:rPr>
                <w:sz w:val="20"/>
                <w:szCs w:val="20"/>
              </w:rPr>
              <w:t xml:space="preserve">W przypadku nauczycieli i kadry prowadzącej szkolenia zaangażowanych w realizację programu może to być dowolna organizacja z państwa członkowskiego UE lub państwa trzeciego stowarzyszonego z Programem lub z państwa trzeciego niestowarzyszonego z Programem (zob. uprawnieni uczestnicy). </w:t>
            </w:r>
          </w:p>
          <w:p w14:paraId="628271B6" w14:textId="7CC06532" w:rsidR="00F82266" w:rsidRDefault="00F82266" w:rsidP="008824ED">
            <w:pPr>
              <w:pStyle w:val="Default"/>
              <w:numPr>
                <w:ilvl w:val="0"/>
                <w:numId w:val="3"/>
              </w:numPr>
              <w:jc w:val="both"/>
              <w:rPr>
                <w:sz w:val="20"/>
                <w:szCs w:val="20"/>
              </w:rPr>
            </w:pPr>
            <w:r w:rsidRPr="00055025">
              <w:rPr>
                <w:sz w:val="20"/>
                <w:szCs w:val="20"/>
              </w:rPr>
              <w:t xml:space="preserve">Uczestnicy mogą być wysłani w ramach </w:t>
            </w:r>
            <w:r w:rsidR="00F558F0">
              <w:rPr>
                <w:sz w:val="20"/>
                <w:szCs w:val="20"/>
              </w:rPr>
              <w:t>dotacji</w:t>
            </w:r>
            <w:r w:rsidRPr="00055025">
              <w:rPr>
                <w:sz w:val="20"/>
                <w:szCs w:val="20"/>
              </w:rPr>
              <w:t xml:space="preserve"> z programu Erasmus+ lub uczestniczyć na własny koszt. Instytucje szkolnictwa wyższego z państw trzecich niestowarzyszonych z Programem mogą wysyłać uczestników w ramach programu Erasmus+, jeśli instytucja przyjmująca realizuje jednocześnie projekt mobilności </w:t>
            </w:r>
            <w:r w:rsidR="006B4E8D">
              <w:rPr>
                <w:sz w:val="20"/>
                <w:szCs w:val="20"/>
              </w:rPr>
              <w:t>dotowany</w:t>
            </w:r>
            <w:r w:rsidRPr="00055025">
              <w:rPr>
                <w:sz w:val="20"/>
                <w:szCs w:val="20"/>
              </w:rPr>
              <w:t xml:space="preserve"> z funduszy polityki zewnętrznej zapewniających </w:t>
            </w:r>
            <w:r w:rsidR="006B4E8D">
              <w:rPr>
                <w:sz w:val="20"/>
                <w:szCs w:val="20"/>
              </w:rPr>
              <w:t>dotację</w:t>
            </w:r>
            <w:r w:rsidRPr="00055025">
              <w:rPr>
                <w:sz w:val="20"/>
                <w:szCs w:val="20"/>
              </w:rPr>
              <w:t xml:space="preserve"> dla przyjeżdżających studentów i pracowników z tych państw. Wspomniani uczestnicy z państw trzecich niestowarzyszonych z Programem nie wliczają się do minimalnych wymogów.</w:t>
            </w:r>
          </w:p>
          <w:p w14:paraId="7BF72ED7" w14:textId="54CCDBBA" w:rsidR="00A824E7" w:rsidRDefault="00A824E7" w:rsidP="00A824E7">
            <w:pPr>
              <w:pStyle w:val="Default"/>
              <w:ind w:left="720"/>
              <w:jc w:val="both"/>
              <w:rPr>
                <w:sz w:val="20"/>
                <w:szCs w:val="20"/>
              </w:rPr>
            </w:pPr>
          </w:p>
          <w:p w14:paraId="41512E4E" w14:textId="70D29730" w:rsidR="00F82266" w:rsidRDefault="00F82266" w:rsidP="008824ED">
            <w:pPr>
              <w:pStyle w:val="Default"/>
              <w:numPr>
                <w:ilvl w:val="0"/>
                <w:numId w:val="3"/>
              </w:numPr>
              <w:jc w:val="both"/>
              <w:rPr>
                <w:sz w:val="20"/>
                <w:szCs w:val="20"/>
              </w:rPr>
            </w:pPr>
            <w:r w:rsidRPr="00055025">
              <w:rPr>
                <w:sz w:val="20"/>
                <w:szCs w:val="20"/>
              </w:rPr>
              <w:lastRenderedPageBreak/>
              <w:t xml:space="preserve">Przyjmująca instytucja szkolnictwa wyższego musi posiadać ECHE. Przyjmująca instytucja szkolnictwa wyższego może być taka sama jak koordynująca instytucja szkolnictwa wyższego lub różna od koordynującej instytucji szkolnictwa wyższego. Inne organizacje mogą również gościć uczestników w państwie przyjmującym podczas części aktywności fizycznej. </w:t>
            </w:r>
          </w:p>
          <w:p w14:paraId="626A4259" w14:textId="7E675AD7" w:rsidR="00F82266" w:rsidRPr="00055025" w:rsidRDefault="00F82266" w:rsidP="008824ED">
            <w:pPr>
              <w:pStyle w:val="Default"/>
              <w:numPr>
                <w:ilvl w:val="0"/>
                <w:numId w:val="3"/>
              </w:numPr>
              <w:jc w:val="both"/>
              <w:rPr>
                <w:sz w:val="20"/>
                <w:szCs w:val="20"/>
              </w:rPr>
            </w:pPr>
            <w:r w:rsidRPr="00055025">
              <w:rPr>
                <w:sz w:val="20"/>
                <w:szCs w:val="20"/>
              </w:rPr>
              <w:t xml:space="preserve">Koordynująca instytucja szkolnictwa wyższego musi również posiadać ECHE. Koordynującą lub przyjmującą instytucją szkolnictwa wyższego jest albo instytucja składająca wniosek, albo instytucja szkolnictwa wyższego będąca członkiem konsorcjum realizującego projekt mobilności </w:t>
            </w:r>
            <w:r w:rsidR="006B4E8D">
              <w:rPr>
                <w:sz w:val="20"/>
                <w:szCs w:val="20"/>
              </w:rPr>
              <w:t>mająca dotację</w:t>
            </w:r>
            <w:r w:rsidRPr="00055025">
              <w:rPr>
                <w:sz w:val="20"/>
                <w:szCs w:val="20"/>
              </w:rPr>
              <w:t xml:space="preserve"> z funduszy polityki wewnętrznej. </w:t>
            </w:r>
          </w:p>
          <w:p w14:paraId="685CCC76" w14:textId="21802C45" w:rsidR="00F82266" w:rsidRDefault="00F82266" w:rsidP="008824ED">
            <w:pPr>
              <w:pStyle w:val="Default"/>
              <w:jc w:val="both"/>
              <w:rPr>
                <w:sz w:val="20"/>
                <w:szCs w:val="20"/>
              </w:rPr>
            </w:pPr>
          </w:p>
        </w:tc>
      </w:tr>
      <w:tr w:rsidR="00F82266" w14:paraId="2335448D" w14:textId="77777777" w:rsidTr="00F82266">
        <w:tc>
          <w:tcPr>
            <w:tcW w:w="9062" w:type="dxa"/>
          </w:tcPr>
          <w:p w14:paraId="47875B2B" w14:textId="77777777" w:rsidR="00F82266" w:rsidRPr="00A824E7" w:rsidRDefault="00F82266" w:rsidP="008824ED">
            <w:pPr>
              <w:pStyle w:val="Default"/>
              <w:numPr>
                <w:ilvl w:val="0"/>
                <w:numId w:val="1"/>
              </w:numPr>
              <w:jc w:val="both"/>
              <w:rPr>
                <w:sz w:val="20"/>
                <w:szCs w:val="20"/>
              </w:rPr>
            </w:pPr>
            <w:r>
              <w:rPr>
                <w:b/>
                <w:bCs/>
                <w:sz w:val="20"/>
                <w:szCs w:val="20"/>
              </w:rPr>
              <w:lastRenderedPageBreak/>
              <w:t xml:space="preserve">Czas trwania działania </w:t>
            </w:r>
          </w:p>
          <w:p w14:paraId="2928F46A" w14:textId="1EAF561D" w:rsidR="00A824E7" w:rsidRPr="00F82266" w:rsidRDefault="00A824E7" w:rsidP="00A824E7">
            <w:pPr>
              <w:pStyle w:val="Default"/>
              <w:ind w:left="720"/>
              <w:jc w:val="both"/>
              <w:rPr>
                <w:sz w:val="20"/>
                <w:szCs w:val="20"/>
              </w:rPr>
            </w:pPr>
          </w:p>
        </w:tc>
      </w:tr>
      <w:tr w:rsidR="00F82266" w14:paraId="323A7251" w14:textId="77777777" w:rsidTr="00F82266">
        <w:tc>
          <w:tcPr>
            <w:tcW w:w="9062" w:type="dxa"/>
          </w:tcPr>
          <w:p w14:paraId="7A76AFF1" w14:textId="77777777" w:rsidR="00F82266" w:rsidRPr="00055025" w:rsidRDefault="00F82266" w:rsidP="008824ED">
            <w:pPr>
              <w:pStyle w:val="Default"/>
              <w:jc w:val="both"/>
              <w:rPr>
                <w:b/>
                <w:bCs/>
                <w:sz w:val="20"/>
                <w:szCs w:val="20"/>
              </w:rPr>
            </w:pPr>
            <w:r>
              <w:rPr>
                <w:sz w:val="20"/>
                <w:szCs w:val="20"/>
              </w:rPr>
              <w:t xml:space="preserve">Mobilność fizyczna od 5 do 30 dni trwania programu. Nie określono kryteriów kwalifikowalności na czas trwania komponentu wirtualnego, ale połączona mobilność wirtualna i fizyczna musi zapewnić studentom </w:t>
            </w:r>
            <w:r w:rsidRPr="00055025">
              <w:rPr>
                <w:b/>
                <w:bCs/>
                <w:sz w:val="20"/>
                <w:szCs w:val="20"/>
              </w:rPr>
              <w:t xml:space="preserve">co najmniej 3 punkty ECTS. </w:t>
            </w:r>
          </w:p>
          <w:p w14:paraId="4D9397FC" w14:textId="77777777" w:rsidR="00F82266" w:rsidRDefault="00F82266" w:rsidP="008824ED">
            <w:pPr>
              <w:pStyle w:val="Default"/>
              <w:jc w:val="both"/>
              <w:rPr>
                <w:sz w:val="20"/>
                <w:szCs w:val="20"/>
              </w:rPr>
            </w:pPr>
          </w:p>
        </w:tc>
      </w:tr>
      <w:tr w:rsidR="00F82266" w14:paraId="4D33A876" w14:textId="77777777" w:rsidTr="00F82266">
        <w:tc>
          <w:tcPr>
            <w:tcW w:w="9062" w:type="dxa"/>
          </w:tcPr>
          <w:p w14:paraId="4CEB9931" w14:textId="77777777" w:rsidR="00F82266" w:rsidRPr="00A824E7" w:rsidRDefault="00F82266" w:rsidP="008824ED">
            <w:pPr>
              <w:pStyle w:val="Default"/>
              <w:numPr>
                <w:ilvl w:val="0"/>
                <w:numId w:val="1"/>
              </w:numPr>
              <w:jc w:val="both"/>
              <w:rPr>
                <w:sz w:val="20"/>
                <w:szCs w:val="20"/>
              </w:rPr>
            </w:pPr>
            <w:r>
              <w:rPr>
                <w:b/>
                <w:bCs/>
                <w:sz w:val="20"/>
                <w:szCs w:val="20"/>
              </w:rPr>
              <w:t xml:space="preserve">Miejsce (miejsca) działania </w:t>
            </w:r>
          </w:p>
          <w:p w14:paraId="07406A1E" w14:textId="2EC16926" w:rsidR="00A824E7" w:rsidRPr="00F82266" w:rsidRDefault="00A824E7" w:rsidP="00A824E7">
            <w:pPr>
              <w:pStyle w:val="Default"/>
              <w:ind w:left="720"/>
              <w:jc w:val="both"/>
              <w:rPr>
                <w:sz w:val="20"/>
                <w:szCs w:val="20"/>
              </w:rPr>
            </w:pPr>
          </w:p>
        </w:tc>
      </w:tr>
      <w:tr w:rsidR="00F82266" w14:paraId="4736A02D" w14:textId="77777777" w:rsidTr="00F82266">
        <w:tc>
          <w:tcPr>
            <w:tcW w:w="9062" w:type="dxa"/>
          </w:tcPr>
          <w:p w14:paraId="1932519C" w14:textId="77777777" w:rsidR="00F82266" w:rsidRDefault="00F82266" w:rsidP="008824ED">
            <w:pPr>
              <w:pStyle w:val="Default"/>
              <w:jc w:val="both"/>
              <w:rPr>
                <w:sz w:val="20"/>
                <w:szCs w:val="20"/>
              </w:rPr>
            </w:pPr>
            <w:r>
              <w:rPr>
                <w:sz w:val="20"/>
                <w:szCs w:val="20"/>
              </w:rPr>
              <w:t xml:space="preserve">Aktywność fizyczna może odbywać się w przyjmującej instytucji szkolnictwa wyższego lub w dowolnym innym miejscu w kraju przyjmującej instytucji szkolnictwa wyższego. </w:t>
            </w:r>
          </w:p>
          <w:p w14:paraId="70E974E6" w14:textId="77777777" w:rsidR="00F82266" w:rsidRDefault="00F82266" w:rsidP="008824ED">
            <w:pPr>
              <w:pStyle w:val="Default"/>
              <w:ind w:left="720"/>
              <w:jc w:val="both"/>
              <w:rPr>
                <w:b/>
                <w:bCs/>
                <w:sz w:val="20"/>
                <w:szCs w:val="20"/>
              </w:rPr>
            </w:pPr>
          </w:p>
        </w:tc>
      </w:tr>
      <w:tr w:rsidR="00F82266" w14:paraId="34169C67" w14:textId="77777777" w:rsidTr="00F82266">
        <w:tc>
          <w:tcPr>
            <w:tcW w:w="9062" w:type="dxa"/>
          </w:tcPr>
          <w:p w14:paraId="6C4F97A5" w14:textId="77777777" w:rsidR="00F82266" w:rsidRPr="00A824E7" w:rsidRDefault="00F82266" w:rsidP="008824ED">
            <w:pPr>
              <w:pStyle w:val="Default"/>
              <w:numPr>
                <w:ilvl w:val="0"/>
                <w:numId w:val="1"/>
              </w:numPr>
              <w:jc w:val="both"/>
              <w:rPr>
                <w:sz w:val="20"/>
                <w:szCs w:val="20"/>
              </w:rPr>
            </w:pPr>
            <w:r>
              <w:rPr>
                <w:b/>
                <w:bCs/>
                <w:sz w:val="20"/>
                <w:szCs w:val="20"/>
              </w:rPr>
              <w:t xml:space="preserve">Uprawnieni uczestnicy </w:t>
            </w:r>
          </w:p>
          <w:p w14:paraId="0A492B81" w14:textId="0560C419" w:rsidR="00A824E7" w:rsidRPr="00F82266" w:rsidRDefault="00A824E7" w:rsidP="00A824E7">
            <w:pPr>
              <w:pStyle w:val="Default"/>
              <w:ind w:left="720"/>
              <w:jc w:val="both"/>
              <w:rPr>
                <w:sz w:val="20"/>
                <w:szCs w:val="20"/>
              </w:rPr>
            </w:pPr>
          </w:p>
        </w:tc>
      </w:tr>
      <w:tr w:rsidR="00F82266" w14:paraId="13EB38AA" w14:textId="77777777" w:rsidTr="00F82266">
        <w:tc>
          <w:tcPr>
            <w:tcW w:w="9062" w:type="dxa"/>
          </w:tcPr>
          <w:p w14:paraId="36C7B487" w14:textId="2E46BE42" w:rsidR="00F82266" w:rsidRPr="00752E0F" w:rsidRDefault="00F82266" w:rsidP="008824ED">
            <w:pPr>
              <w:pStyle w:val="Default"/>
              <w:jc w:val="both"/>
              <w:rPr>
                <w:sz w:val="20"/>
                <w:szCs w:val="20"/>
              </w:rPr>
            </w:pPr>
            <w:r>
              <w:rPr>
                <w:b/>
                <w:bCs/>
                <w:sz w:val="20"/>
                <w:szCs w:val="20"/>
              </w:rPr>
              <w:t xml:space="preserve">Studenci: </w:t>
            </w:r>
            <w:r w:rsidRPr="00752E0F">
              <w:rPr>
                <w:sz w:val="20"/>
                <w:szCs w:val="20"/>
              </w:rPr>
              <w:t xml:space="preserve">Studenci zapisani do instytucji szkolnictwa wyższego w państwie członkowskim UE, państwie trzecim stowarzyszonym z Programem lub w państwie trzecim niestowarzyszonym z Programem i przyjęci na studia kończące się uzyskaniem uznawanej kwalifikacji lub innej uznawanej kwalifikacji zdobytej w szkolnictwie wyższym (do poziomu doktoratu włącznie). </w:t>
            </w:r>
          </w:p>
          <w:p w14:paraId="266582C6" w14:textId="77777777" w:rsidR="00F82266" w:rsidRDefault="00F82266" w:rsidP="008824ED">
            <w:pPr>
              <w:pStyle w:val="Default"/>
              <w:jc w:val="both"/>
              <w:rPr>
                <w:sz w:val="20"/>
                <w:szCs w:val="20"/>
              </w:rPr>
            </w:pPr>
            <w:r>
              <w:rPr>
                <w:b/>
                <w:bCs/>
                <w:sz w:val="20"/>
                <w:szCs w:val="20"/>
              </w:rPr>
              <w:t xml:space="preserve">Kadra/pracownicy: </w:t>
            </w:r>
            <w:r>
              <w:rPr>
                <w:sz w:val="20"/>
                <w:szCs w:val="20"/>
              </w:rPr>
              <w:t xml:space="preserve">Pracownicy zatrudnieni w instytucji szkolnictwa wyższego w państwie członkowskim UE lub państwie trzecim stowarzyszonym z Programem lub w państwie trzecim niestowarzyszonym z Programem. </w:t>
            </w:r>
          </w:p>
          <w:p w14:paraId="18616372" w14:textId="77777777" w:rsidR="00E26622" w:rsidRPr="00E26622" w:rsidRDefault="00F82266" w:rsidP="008824ED">
            <w:pPr>
              <w:pStyle w:val="Default"/>
              <w:jc w:val="both"/>
              <w:rPr>
                <w:sz w:val="20"/>
                <w:szCs w:val="20"/>
              </w:rPr>
            </w:pPr>
            <w:r>
              <w:rPr>
                <w:b/>
                <w:bCs/>
                <w:sz w:val="20"/>
                <w:szCs w:val="20"/>
              </w:rPr>
              <w:t xml:space="preserve">Nauczyciele i kadra prowadząca szkolenia zaangażowani w realizację programu: </w:t>
            </w:r>
          </w:p>
          <w:p w14:paraId="59B5F95E" w14:textId="5231413E" w:rsidR="00E26622" w:rsidRDefault="00F82266" w:rsidP="008824ED">
            <w:pPr>
              <w:pStyle w:val="Default"/>
              <w:numPr>
                <w:ilvl w:val="0"/>
                <w:numId w:val="5"/>
              </w:numPr>
              <w:jc w:val="both"/>
              <w:rPr>
                <w:sz w:val="20"/>
                <w:szCs w:val="20"/>
              </w:rPr>
            </w:pPr>
            <w:r w:rsidRPr="00E26622">
              <w:rPr>
                <w:sz w:val="20"/>
                <w:szCs w:val="20"/>
              </w:rPr>
              <w:t>Pracownicy zatrudnieni w instytucji szkolnictwa wyższego w państwie członkowskim UE lub państwie trzecim stowarzyszonym z Programem.</w:t>
            </w:r>
          </w:p>
          <w:p w14:paraId="74FDF9E9" w14:textId="51FFB455" w:rsidR="00F82266" w:rsidRPr="00E26622" w:rsidRDefault="00F82266" w:rsidP="008824ED">
            <w:pPr>
              <w:pStyle w:val="Default"/>
              <w:numPr>
                <w:ilvl w:val="0"/>
                <w:numId w:val="5"/>
              </w:numPr>
              <w:jc w:val="both"/>
              <w:rPr>
                <w:sz w:val="20"/>
                <w:szCs w:val="20"/>
              </w:rPr>
            </w:pPr>
            <w:r w:rsidRPr="00E26622">
              <w:rPr>
                <w:sz w:val="20"/>
                <w:szCs w:val="20"/>
              </w:rPr>
              <w:t xml:space="preserve">Pracownicy zaproszeni do prowadzenia zajęć dydaktycznych w instytucji szkolnictwa wyższego w państwie członkowskim UE, zatrudnieni w dowolnym publicznym lub prywatnym przedsiębiorstwie lub w dowolnej publicznej lub prywatnej organizacji (z wyjątkiem instytucji szkolnictwa wyższego posiadającej ECHE); przedsiębiorstwo lub organizacja powinna pochodzić z w państwa członkowskiego UE lub państwa trzeciego stowarzyszonego z Programem i prowadzić działalność na rynku pracy lub w dziedzinie kształcenia, szkolenia, badań naukowych i innowacji oraz młodzieży. zatrudnieni doktoranci również kwalifikują się w ramach tego działania. </w:t>
            </w:r>
          </w:p>
          <w:p w14:paraId="51826F0D" w14:textId="37A6EAF8" w:rsidR="00E26622" w:rsidRDefault="00E26622" w:rsidP="008824ED">
            <w:pPr>
              <w:pStyle w:val="Default"/>
              <w:ind w:left="720"/>
              <w:jc w:val="both"/>
              <w:rPr>
                <w:b/>
                <w:bCs/>
                <w:sz w:val="20"/>
                <w:szCs w:val="20"/>
              </w:rPr>
            </w:pPr>
          </w:p>
        </w:tc>
      </w:tr>
      <w:tr w:rsidR="00F82266" w14:paraId="7EFA4D56" w14:textId="77777777" w:rsidTr="00F82266">
        <w:tc>
          <w:tcPr>
            <w:tcW w:w="9062" w:type="dxa"/>
          </w:tcPr>
          <w:p w14:paraId="054A95FD" w14:textId="77777777" w:rsidR="00F82266" w:rsidRPr="00A824E7" w:rsidRDefault="00F82266" w:rsidP="00F82266">
            <w:pPr>
              <w:pStyle w:val="Default"/>
              <w:numPr>
                <w:ilvl w:val="0"/>
                <w:numId w:val="1"/>
              </w:numPr>
              <w:rPr>
                <w:sz w:val="20"/>
                <w:szCs w:val="20"/>
              </w:rPr>
            </w:pPr>
            <w:r>
              <w:rPr>
                <w:b/>
                <w:bCs/>
                <w:sz w:val="20"/>
                <w:szCs w:val="20"/>
              </w:rPr>
              <w:t xml:space="preserve">Inne kryteria, które należy spełnić </w:t>
            </w:r>
          </w:p>
          <w:p w14:paraId="3A52364F" w14:textId="4479875B" w:rsidR="00A824E7" w:rsidRPr="00F82266" w:rsidRDefault="00A824E7" w:rsidP="00A824E7">
            <w:pPr>
              <w:pStyle w:val="Default"/>
              <w:ind w:left="720"/>
              <w:rPr>
                <w:sz w:val="20"/>
                <w:szCs w:val="20"/>
              </w:rPr>
            </w:pPr>
          </w:p>
        </w:tc>
      </w:tr>
      <w:tr w:rsidR="00F82266" w14:paraId="5D6B50CB" w14:textId="77777777" w:rsidTr="00F82266">
        <w:tc>
          <w:tcPr>
            <w:tcW w:w="9062" w:type="dxa"/>
          </w:tcPr>
          <w:p w14:paraId="75AC5B23" w14:textId="4DCAE90D" w:rsidR="00E26622" w:rsidRDefault="003643FF" w:rsidP="008824ED">
            <w:pPr>
              <w:pStyle w:val="Default"/>
              <w:numPr>
                <w:ilvl w:val="0"/>
                <w:numId w:val="6"/>
              </w:numPr>
              <w:jc w:val="both"/>
              <w:rPr>
                <w:sz w:val="20"/>
                <w:szCs w:val="20"/>
              </w:rPr>
            </w:pPr>
            <w:r>
              <w:rPr>
                <w:sz w:val="20"/>
                <w:szCs w:val="20"/>
              </w:rPr>
              <w:t xml:space="preserve">Mieszane </w:t>
            </w:r>
            <w:r w:rsidR="009C1EED">
              <w:rPr>
                <w:sz w:val="20"/>
                <w:szCs w:val="20"/>
              </w:rPr>
              <w:t>P</w:t>
            </w:r>
            <w:r>
              <w:rPr>
                <w:sz w:val="20"/>
                <w:szCs w:val="20"/>
              </w:rPr>
              <w:t xml:space="preserve">rogramy </w:t>
            </w:r>
            <w:r w:rsidR="009C1EED">
              <w:rPr>
                <w:sz w:val="20"/>
                <w:szCs w:val="20"/>
              </w:rPr>
              <w:t>I</w:t>
            </w:r>
            <w:r>
              <w:rPr>
                <w:sz w:val="20"/>
                <w:szCs w:val="20"/>
              </w:rPr>
              <w:t xml:space="preserve">ntensywne dla studentów i pracowników muszą składać się z krótkotrwałej mobilności fizycznej za granicą połączonej z obowiązkowym komponentem wirtualnym umożliwiającym pracę zespołową i wymianę doświadczeń na podstawie e-uczenia się opartego na współpracy. Komponent wirtualny musi zapewniać osobom uczącym się przestrzeń do wspólnej i jednoczesnej pracy </w:t>
            </w:r>
            <w:r>
              <w:rPr>
                <w:i/>
                <w:iCs/>
                <w:sz w:val="20"/>
                <w:szCs w:val="20"/>
              </w:rPr>
              <w:t xml:space="preserve">online </w:t>
            </w:r>
            <w:r>
              <w:rPr>
                <w:sz w:val="20"/>
                <w:szCs w:val="20"/>
              </w:rPr>
              <w:t xml:space="preserve">nad konkretnymi zadaniami, które stanowią część mieszanego programu intensywnego i przyczyniają się do osiągnięcia ogólnych efektów uczenia się. </w:t>
            </w:r>
          </w:p>
          <w:p w14:paraId="696155AF" w14:textId="50807021" w:rsidR="00E26622" w:rsidRDefault="003643FF" w:rsidP="008824ED">
            <w:pPr>
              <w:pStyle w:val="Default"/>
              <w:numPr>
                <w:ilvl w:val="0"/>
                <w:numId w:val="6"/>
              </w:numPr>
              <w:jc w:val="both"/>
              <w:rPr>
                <w:sz w:val="20"/>
                <w:szCs w:val="20"/>
              </w:rPr>
            </w:pPr>
            <w:r w:rsidRPr="00E26622">
              <w:rPr>
                <w:sz w:val="20"/>
                <w:szCs w:val="20"/>
              </w:rPr>
              <w:t xml:space="preserve">Mieszane </w:t>
            </w:r>
            <w:r w:rsidR="009C1EED">
              <w:rPr>
                <w:sz w:val="20"/>
                <w:szCs w:val="20"/>
              </w:rPr>
              <w:t>P</w:t>
            </w:r>
            <w:r w:rsidRPr="00E26622">
              <w:rPr>
                <w:sz w:val="20"/>
                <w:szCs w:val="20"/>
              </w:rPr>
              <w:t xml:space="preserve">rogramy </w:t>
            </w:r>
            <w:r w:rsidR="009C1EED">
              <w:rPr>
                <w:sz w:val="20"/>
                <w:szCs w:val="20"/>
              </w:rPr>
              <w:t>I</w:t>
            </w:r>
            <w:r w:rsidRPr="00E26622">
              <w:rPr>
                <w:sz w:val="20"/>
                <w:szCs w:val="20"/>
              </w:rPr>
              <w:t xml:space="preserve">ntensywne muszą zapewniać studentom co najmniej 3 punkty ECTS. </w:t>
            </w:r>
          </w:p>
          <w:p w14:paraId="5D9EFEEE" w14:textId="428E2809" w:rsidR="00E26622" w:rsidRDefault="003643FF" w:rsidP="008824ED">
            <w:pPr>
              <w:pStyle w:val="Default"/>
              <w:numPr>
                <w:ilvl w:val="0"/>
                <w:numId w:val="6"/>
              </w:numPr>
              <w:jc w:val="both"/>
              <w:rPr>
                <w:sz w:val="20"/>
                <w:szCs w:val="20"/>
              </w:rPr>
            </w:pPr>
            <w:r w:rsidRPr="00E26622">
              <w:rPr>
                <w:sz w:val="20"/>
                <w:szCs w:val="20"/>
              </w:rPr>
              <w:t xml:space="preserve">Aby </w:t>
            </w:r>
            <w:r w:rsidR="009C1EED">
              <w:rPr>
                <w:sz w:val="20"/>
                <w:szCs w:val="20"/>
              </w:rPr>
              <w:t>M</w:t>
            </w:r>
            <w:r w:rsidRPr="00E26622">
              <w:rPr>
                <w:sz w:val="20"/>
                <w:szCs w:val="20"/>
              </w:rPr>
              <w:t xml:space="preserve">ieszany </w:t>
            </w:r>
            <w:r w:rsidR="009C1EED">
              <w:rPr>
                <w:sz w:val="20"/>
                <w:szCs w:val="20"/>
              </w:rPr>
              <w:t>P</w:t>
            </w:r>
            <w:r w:rsidRPr="00E26622">
              <w:rPr>
                <w:sz w:val="20"/>
                <w:szCs w:val="20"/>
              </w:rPr>
              <w:t xml:space="preserve">rogram </w:t>
            </w:r>
            <w:r w:rsidR="009C1EED">
              <w:rPr>
                <w:sz w:val="20"/>
                <w:szCs w:val="20"/>
              </w:rPr>
              <w:t>I</w:t>
            </w:r>
            <w:r w:rsidRPr="00E26622">
              <w:rPr>
                <w:sz w:val="20"/>
                <w:szCs w:val="20"/>
              </w:rPr>
              <w:t xml:space="preserve">ntensywny kwalifikował się do </w:t>
            </w:r>
            <w:r w:rsidR="00F558F0">
              <w:rPr>
                <w:sz w:val="20"/>
                <w:szCs w:val="20"/>
              </w:rPr>
              <w:t>dotacji</w:t>
            </w:r>
            <w:r w:rsidRPr="00E26622">
              <w:rPr>
                <w:sz w:val="20"/>
                <w:szCs w:val="20"/>
              </w:rPr>
              <w:t xml:space="preserve">, </w:t>
            </w:r>
            <w:r w:rsidRPr="00E26622">
              <w:rPr>
                <w:b/>
                <w:bCs/>
                <w:sz w:val="20"/>
                <w:szCs w:val="20"/>
              </w:rPr>
              <w:t>minimalna liczba uczestników projektu mobilności w ramach programu Erasmus+ musi wynosić 15</w:t>
            </w:r>
            <w:r w:rsidRPr="00E26622">
              <w:rPr>
                <w:sz w:val="20"/>
                <w:szCs w:val="20"/>
              </w:rPr>
              <w:t xml:space="preserve"> (nie wliczając nauczycieli/kadry prowadzącej szkolenia zaangażowanych w realizację programu). </w:t>
            </w:r>
          </w:p>
          <w:p w14:paraId="7D26CAE6" w14:textId="77777777" w:rsidR="00F82266" w:rsidRDefault="003643FF" w:rsidP="008824ED">
            <w:pPr>
              <w:pStyle w:val="Default"/>
              <w:numPr>
                <w:ilvl w:val="0"/>
                <w:numId w:val="6"/>
              </w:numPr>
              <w:jc w:val="both"/>
              <w:rPr>
                <w:sz w:val="20"/>
                <w:szCs w:val="20"/>
              </w:rPr>
            </w:pPr>
            <w:r w:rsidRPr="00E26622">
              <w:rPr>
                <w:sz w:val="20"/>
                <w:szCs w:val="20"/>
              </w:rPr>
              <w:t xml:space="preserve">Indywidualne wsparcie oraz w stosownych przypadkach, wsparcie podróży dla uczestników aktywności fizycznej, zapewnia organizacja wysyłająca (oraz przyjmująca instytucja szkolnictwa wyższego w przypadku zaproszonych pracowników przedsiębiorstw i uczestników pochodzących z państw trzecich niestowarzyszonych z Programem korzystających z </w:t>
            </w:r>
            <w:r w:rsidR="006B4E8D">
              <w:rPr>
                <w:sz w:val="20"/>
                <w:szCs w:val="20"/>
              </w:rPr>
              <w:t>dotacji</w:t>
            </w:r>
            <w:r w:rsidRPr="00E26622">
              <w:rPr>
                <w:sz w:val="20"/>
                <w:szCs w:val="20"/>
              </w:rPr>
              <w:t xml:space="preserve"> instrumentów działań zewnętrznych). </w:t>
            </w:r>
          </w:p>
          <w:p w14:paraId="3AE77B20" w14:textId="431AFB48" w:rsidR="008824ED" w:rsidRPr="00E26622" w:rsidRDefault="008824ED" w:rsidP="00A824E7">
            <w:pPr>
              <w:pStyle w:val="Default"/>
              <w:ind w:left="720"/>
              <w:jc w:val="both"/>
              <w:rPr>
                <w:sz w:val="20"/>
                <w:szCs w:val="20"/>
              </w:rPr>
            </w:pPr>
          </w:p>
        </w:tc>
      </w:tr>
      <w:tr w:rsidR="00181397" w14:paraId="0DE330DE" w14:textId="77777777" w:rsidTr="00F82266">
        <w:tc>
          <w:tcPr>
            <w:tcW w:w="9062" w:type="dxa"/>
          </w:tcPr>
          <w:p w14:paraId="61FDD1E7" w14:textId="77777777" w:rsidR="00181397" w:rsidRPr="00A824E7" w:rsidRDefault="00181397" w:rsidP="00181397">
            <w:pPr>
              <w:pStyle w:val="Default"/>
              <w:numPr>
                <w:ilvl w:val="0"/>
                <w:numId w:val="1"/>
              </w:numPr>
              <w:rPr>
                <w:sz w:val="20"/>
                <w:szCs w:val="20"/>
              </w:rPr>
            </w:pPr>
            <w:r>
              <w:rPr>
                <w:b/>
                <w:bCs/>
                <w:sz w:val="20"/>
                <w:szCs w:val="20"/>
              </w:rPr>
              <w:lastRenderedPageBreak/>
              <w:t xml:space="preserve">Wsparcie organizacyjne </w:t>
            </w:r>
          </w:p>
          <w:p w14:paraId="6C2CCDE1" w14:textId="1968BBEA" w:rsidR="00A824E7" w:rsidRPr="00181397" w:rsidRDefault="00A824E7" w:rsidP="00A824E7">
            <w:pPr>
              <w:pStyle w:val="Default"/>
              <w:ind w:left="720"/>
              <w:rPr>
                <w:sz w:val="20"/>
                <w:szCs w:val="20"/>
              </w:rPr>
            </w:pPr>
          </w:p>
        </w:tc>
      </w:tr>
      <w:tr w:rsidR="00181397" w14:paraId="1FF74D10" w14:textId="77777777" w:rsidTr="00F82266">
        <w:tc>
          <w:tcPr>
            <w:tcW w:w="9062" w:type="dxa"/>
          </w:tcPr>
          <w:p w14:paraId="3AD5BD80" w14:textId="3A303884" w:rsidR="00E26622" w:rsidRDefault="00E26622" w:rsidP="008824ED">
            <w:pPr>
              <w:pStyle w:val="Default"/>
              <w:jc w:val="both"/>
              <w:rPr>
                <w:sz w:val="20"/>
                <w:szCs w:val="20"/>
              </w:rPr>
            </w:pPr>
          </w:p>
          <w:p w14:paraId="12BB9420" w14:textId="376C8582" w:rsidR="00130108" w:rsidRDefault="00130108" w:rsidP="008824ED">
            <w:pPr>
              <w:pStyle w:val="Default"/>
              <w:jc w:val="both"/>
              <w:rPr>
                <w:sz w:val="20"/>
                <w:szCs w:val="20"/>
              </w:rPr>
            </w:pPr>
            <w:r>
              <w:rPr>
                <w:b/>
                <w:bCs/>
                <w:sz w:val="20"/>
                <w:szCs w:val="20"/>
              </w:rPr>
              <w:t xml:space="preserve">Mechanizm </w:t>
            </w:r>
            <w:r w:rsidR="006C2B86">
              <w:rPr>
                <w:b/>
                <w:bCs/>
                <w:sz w:val="20"/>
                <w:szCs w:val="20"/>
              </w:rPr>
              <w:t>dotacji</w:t>
            </w:r>
            <w:r>
              <w:rPr>
                <w:b/>
                <w:bCs/>
                <w:sz w:val="20"/>
                <w:szCs w:val="20"/>
              </w:rPr>
              <w:t xml:space="preserve">: </w:t>
            </w:r>
            <w:r w:rsidR="006C2B86">
              <w:rPr>
                <w:sz w:val="20"/>
                <w:szCs w:val="20"/>
              </w:rPr>
              <w:t>dotacj</w:t>
            </w:r>
            <w:r>
              <w:rPr>
                <w:sz w:val="20"/>
                <w:szCs w:val="20"/>
              </w:rPr>
              <w:t xml:space="preserve">e kosztów jednostkowych. </w:t>
            </w:r>
          </w:p>
          <w:p w14:paraId="412E4F64" w14:textId="32DF7F14" w:rsidR="00130108" w:rsidRDefault="00130108" w:rsidP="008824ED">
            <w:pPr>
              <w:pStyle w:val="Default"/>
              <w:jc w:val="both"/>
              <w:rPr>
                <w:sz w:val="20"/>
                <w:szCs w:val="20"/>
              </w:rPr>
            </w:pPr>
            <w:r>
              <w:rPr>
                <w:b/>
                <w:bCs/>
                <w:sz w:val="20"/>
                <w:szCs w:val="20"/>
              </w:rPr>
              <w:t xml:space="preserve">Zasada alokacji: </w:t>
            </w:r>
            <w:r>
              <w:rPr>
                <w:sz w:val="20"/>
                <w:szCs w:val="20"/>
              </w:rPr>
              <w:t xml:space="preserve">na podstawie liczby uczestników mobilności (uczących się) w szkolnictwie wyższym </w:t>
            </w:r>
            <w:r w:rsidR="006B4E8D">
              <w:rPr>
                <w:sz w:val="20"/>
                <w:szCs w:val="20"/>
              </w:rPr>
              <w:t>dotowanych</w:t>
            </w:r>
            <w:r>
              <w:rPr>
                <w:sz w:val="20"/>
                <w:szCs w:val="20"/>
              </w:rPr>
              <w:t xml:space="preserve"> w ramach projektów mobilności wspieranych z funduszy polityki wewnętrznej bez uwzględnienia nauczycieli/osób prowadzących szkolenia zaangażowanych w realizację programu. </w:t>
            </w:r>
          </w:p>
          <w:p w14:paraId="28A878E9" w14:textId="77777777" w:rsidR="00130108" w:rsidRDefault="00130108" w:rsidP="008824ED">
            <w:pPr>
              <w:pStyle w:val="Default"/>
              <w:jc w:val="both"/>
              <w:rPr>
                <w:sz w:val="20"/>
                <w:szCs w:val="20"/>
              </w:rPr>
            </w:pPr>
            <w:r>
              <w:rPr>
                <w:sz w:val="20"/>
                <w:szCs w:val="20"/>
              </w:rPr>
              <w:t xml:space="preserve">Koordynująca instytucja szkolnictwa wyższego ubiega się o wsparcie organizacyjne w imieniu grupy instytucji wspólnie organizujących mieszany program intensywny. </w:t>
            </w:r>
          </w:p>
          <w:p w14:paraId="720A5DC0" w14:textId="77777777" w:rsidR="00130108" w:rsidRDefault="00130108" w:rsidP="008824ED">
            <w:pPr>
              <w:pStyle w:val="Default"/>
              <w:jc w:val="both"/>
              <w:rPr>
                <w:sz w:val="20"/>
                <w:szCs w:val="20"/>
              </w:rPr>
            </w:pPr>
          </w:p>
          <w:p w14:paraId="353F0B32" w14:textId="1CE907DE" w:rsidR="00E26622" w:rsidRDefault="00E26622" w:rsidP="008824ED">
            <w:pPr>
              <w:pStyle w:val="Default"/>
              <w:numPr>
                <w:ilvl w:val="0"/>
                <w:numId w:val="7"/>
              </w:numPr>
              <w:jc w:val="both"/>
              <w:rPr>
                <w:sz w:val="20"/>
                <w:szCs w:val="20"/>
              </w:rPr>
            </w:pPr>
            <w:r w:rsidRPr="00E26622">
              <w:rPr>
                <w:sz w:val="20"/>
                <w:szCs w:val="20"/>
              </w:rPr>
              <w:t>Kwota do</w:t>
            </w:r>
            <w:r w:rsidR="006C2B86">
              <w:rPr>
                <w:sz w:val="20"/>
                <w:szCs w:val="20"/>
              </w:rPr>
              <w:t>tacji</w:t>
            </w:r>
            <w:r w:rsidRPr="00E26622">
              <w:rPr>
                <w:sz w:val="20"/>
                <w:szCs w:val="20"/>
              </w:rPr>
              <w:t xml:space="preserve">: </w:t>
            </w:r>
            <w:r w:rsidRPr="00E26622">
              <w:rPr>
                <w:b/>
                <w:bCs/>
                <w:sz w:val="20"/>
                <w:szCs w:val="20"/>
              </w:rPr>
              <w:t xml:space="preserve">6.000 EUR na kurs </w:t>
            </w:r>
            <w:r w:rsidRPr="00E26622">
              <w:rPr>
                <w:sz w:val="20"/>
                <w:szCs w:val="20"/>
              </w:rPr>
              <w:t>(kalkulowane w Umowie jako 400 EUR na uczestnika, przy minimalnej liczbie uczestników wynoszącej 15 i maksymalnej liczbie 20 uczestników korzystających z d</w:t>
            </w:r>
            <w:r w:rsidR="006C2B86">
              <w:rPr>
                <w:sz w:val="20"/>
                <w:szCs w:val="20"/>
              </w:rPr>
              <w:t>otacji</w:t>
            </w:r>
            <w:r w:rsidRPr="00E26622">
              <w:rPr>
                <w:sz w:val="20"/>
                <w:szCs w:val="20"/>
              </w:rPr>
              <w:t>)</w:t>
            </w:r>
          </w:p>
          <w:p w14:paraId="4C47BEE6" w14:textId="34FCC44C" w:rsidR="00E26622" w:rsidRDefault="00E26622" w:rsidP="008824ED">
            <w:pPr>
              <w:pStyle w:val="Default"/>
              <w:numPr>
                <w:ilvl w:val="0"/>
                <w:numId w:val="7"/>
              </w:numPr>
              <w:jc w:val="both"/>
              <w:rPr>
                <w:sz w:val="20"/>
                <w:szCs w:val="20"/>
              </w:rPr>
            </w:pPr>
            <w:r w:rsidRPr="00E26622">
              <w:rPr>
                <w:sz w:val="20"/>
                <w:szCs w:val="20"/>
              </w:rPr>
              <w:t>D</w:t>
            </w:r>
            <w:r w:rsidR="006C2B86">
              <w:rPr>
                <w:sz w:val="20"/>
                <w:szCs w:val="20"/>
              </w:rPr>
              <w:t>otacje</w:t>
            </w:r>
            <w:r w:rsidRPr="00E26622">
              <w:rPr>
                <w:sz w:val="20"/>
                <w:szCs w:val="20"/>
              </w:rPr>
              <w:t xml:space="preserve"> na wsparcie organizacyjne dla mieszanych programów intensywnych stanowi </w:t>
            </w:r>
            <w:r w:rsidRPr="00E26622">
              <w:rPr>
                <w:b/>
                <w:bCs/>
                <w:sz w:val="20"/>
                <w:szCs w:val="20"/>
              </w:rPr>
              <w:t xml:space="preserve">wkład </w:t>
            </w:r>
            <w:r w:rsidRPr="00E26622">
              <w:rPr>
                <w:sz w:val="20"/>
                <w:szCs w:val="20"/>
              </w:rPr>
              <w:t xml:space="preserve">we wszelkie koszty poniesione przez zaangażowane instytucje w związku z organizacją </w:t>
            </w:r>
            <w:r w:rsidR="009C1EED">
              <w:rPr>
                <w:sz w:val="20"/>
                <w:szCs w:val="20"/>
              </w:rPr>
              <w:t>M</w:t>
            </w:r>
            <w:r w:rsidRPr="00E26622">
              <w:rPr>
                <w:sz w:val="20"/>
                <w:szCs w:val="20"/>
              </w:rPr>
              <w:t xml:space="preserve">ieszanych </w:t>
            </w:r>
            <w:r w:rsidR="009C1EED">
              <w:rPr>
                <w:sz w:val="20"/>
                <w:szCs w:val="20"/>
              </w:rPr>
              <w:t>P</w:t>
            </w:r>
            <w:r w:rsidRPr="00E26622">
              <w:rPr>
                <w:sz w:val="20"/>
                <w:szCs w:val="20"/>
              </w:rPr>
              <w:t xml:space="preserve">rogramów </w:t>
            </w:r>
            <w:r w:rsidR="009C1EED">
              <w:rPr>
                <w:sz w:val="20"/>
                <w:szCs w:val="20"/>
              </w:rPr>
              <w:t>I</w:t>
            </w:r>
            <w:r w:rsidRPr="00E26622">
              <w:rPr>
                <w:sz w:val="20"/>
                <w:szCs w:val="20"/>
              </w:rPr>
              <w:t>ntensywnych</w:t>
            </w:r>
            <w:r>
              <w:rPr>
                <w:sz w:val="20"/>
                <w:szCs w:val="20"/>
              </w:rPr>
              <w:t>.</w:t>
            </w:r>
            <w:r w:rsidR="00130108" w:rsidRPr="00E26622">
              <w:rPr>
                <w:sz w:val="20"/>
                <w:szCs w:val="20"/>
              </w:rPr>
              <w:t xml:space="preserve"> (z wyłączeniem kosztów utrzymania i podróży uczestników).</w:t>
            </w:r>
          </w:p>
          <w:p w14:paraId="183548A0" w14:textId="1E9D81B2" w:rsidR="00130108" w:rsidRDefault="00E26622" w:rsidP="008824ED">
            <w:pPr>
              <w:pStyle w:val="Default"/>
              <w:numPr>
                <w:ilvl w:val="0"/>
                <w:numId w:val="7"/>
              </w:numPr>
              <w:jc w:val="both"/>
              <w:rPr>
                <w:sz w:val="20"/>
                <w:szCs w:val="20"/>
              </w:rPr>
            </w:pPr>
            <w:r w:rsidRPr="00E26622">
              <w:rPr>
                <w:sz w:val="20"/>
                <w:szCs w:val="20"/>
              </w:rPr>
              <w:t>Koordynująca instytucja szkolnictwa wyższego odpowiada za rozdział do</w:t>
            </w:r>
            <w:r w:rsidR="006C2B86">
              <w:rPr>
                <w:sz w:val="20"/>
                <w:szCs w:val="20"/>
              </w:rPr>
              <w:t>tacji</w:t>
            </w:r>
            <w:r w:rsidRPr="00E26622">
              <w:rPr>
                <w:sz w:val="20"/>
                <w:szCs w:val="20"/>
              </w:rPr>
              <w:t xml:space="preserve"> na wsparcie organizacyjne w odniesieniu do </w:t>
            </w:r>
            <w:r w:rsidR="009C1EED">
              <w:rPr>
                <w:sz w:val="20"/>
                <w:szCs w:val="20"/>
              </w:rPr>
              <w:t>M</w:t>
            </w:r>
            <w:r w:rsidRPr="00E26622">
              <w:rPr>
                <w:sz w:val="20"/>
                <w:szCs w:val="20"/>
              </w:rPr>
              <w:t xml:space="preserve">ieszanych </w:t>
            </w:r>
            <w:r w:rsidR="009C1EED">
              <w:rPr>
                <w:sz w:val="20"/>
                <w:szCs w:val="20"/>
              </w:rPr>
              <w:t>P</w:t>
            </w:r>
            <w:r w:rsidRPr="00E26622">
              <w:rPr>
                <w:sz w:val="20"/>
                <w:szCs w:val="20"/>
              </w:rPr>
              <w:t xml:space="preserve">rogramów </w:t>
            </w:r>
            <w:r w:rsidR="009C1EED">
              <w:rPr>
                <w:sz w:val="20"/>
                <w:szCs w:val="20"/>
              </w:rPr>
              <w:t>I</w:t>
            </w:r>
            <w:r w:rsidRPr="00E26622">
              <w:rPr>
                <w:sz w:val="20"/>
                <w:szCs w:val="20"/>
              </w:rPr>
              <w:t>ntensywnych między partnerów w przypadkach, gdy ponoszone są wspomniane powyżej koszty</w:t>
            </w:r>
            <w:r>
              <w:rPr>
                <w:sz w:val="20"/>
                <w:szCs w:val="20"/>
              </w:rPr>
              <w:t>.</w:t>
            </w:r>
          </w:p>
          <w:p w14:paraId="376BEFA6" w14:textId="540C5886" w:rsidR="00130108" w:rsidRPr="00130108" w:rsidRDefault="00130108" w:rsidP="008824ED">
            <w:pPr>
              <w:pStyle w:val="Default"/>
              <w:numPr>
                <w:ilvl w:val="0"/>
                <w:numId w:val="7"/>
              </w:numPr>
              <w:jc w:val="both"/>
              <w:rPr>
                <w:sz w:val="20"/>
                <w:szCs w:val="20"/>
              </w:rPr>
            </w:pPr>
            <w:r w:rsidRPr="00130108">
              <w:rPr>
                <w:b/>
                <w:bCs/>
                <w:sz w:val="20"/>
                <w:szCs w:val="20"/>
              </w:rPr>
              <w:t>Do</w:t>
            </w:r>
            <w:r w:rsidR="006C2B86">
              <w:rPr>
                <w:b/>
                <w:bCs/>
                <w:sz w:val="20"/>
                <w:szCs w:val="20"/>
              </w:rPr>
              <w:t>tacje</w:t>
            </w:r>
            <w:r w:rsidRPr="00130108">
              <w:rPr>
                <w:b/>
                <w:bCs/>
                <w:sz w:val="20"/>
                <w:szCs w:val="20"/>
              </w:rPr>
              <w:t xml:space="preserve"> na wsparcie organizacyjne (</w:t>
            </w:r>
            <w:r w:rsidR="00E26622" w:rsidRPr="00130108">
              <w:rPr>
                <w:rFonts w:cstheme="minorHAnsi"/>
                <w:b/>
                <w:bCs/>
                <w:sz w:val="20"/>
                <w:szCs w:val="20"/>
              </w:rPr>
              <w:t>OS</w:t>
            </w:r>
            <w:r w:rsidRPr="00130108">
              <w:rPr>
                <w:rFonts w:cstheme="minorHAnsi"/>
                <w:b/>
                <w:bCs/>
                <w:sz w:val="20"/>
                <w:szCs w:val="20"/>
              </w:rPr>
              <w:t>)</w:t>
            </w:r>
            <w:r w:rsidR="00E26622" w:rsidRPr="00130108">
              <w:rPr>
                <w:rFonts w:cstheme="minorHAnsi"/>
                <w:sz w:val="20"/>
                <w:szCs w:val="20"/>
              </w:rPr>
              <w:t xml:space="preserve"> wspiera koszty związane z przygotowaniem, opracowaniem, rozwojem,</w:t>
            </w:r>
            <w:r>
              <w:rPr>
                <w:rFonts w:cstheme="minorHAnsi"/>
                <w:sz w:val="20"/>
                <w:szCs w:val="20"/>
              </w:rPr>
              <w:t xml:space="preserve"> </w:t>
            </w:r>
            <w:r w:rsidR="00E26622" w:rsidRPr="00130108">
              <w:rPr>
                <w:rFonts w:cstheme="minorHAnsi"/>
                <w:sz w:val="20"/>
                <w:szCs w:val="20"/>
              </w:rPr>
              <w:t>wdrażaniem i kontynuacją programu oraz realizacją działań</w:t>
            </w:r>
            <w:r>
              <w:rPr>
                <w:rFonts w:cstheme="minorHAnsi"/>
                <w:sz w:val="20"/>
                <w:szCs w:val="20"/>
              </w:rPr>
              <w:t xml:space="preserve">, </w:t>
            </w:r>
            <w:r w:rsidR="00E26622" w:rsidRPr="00130108">
              <w:rPr>
                <w:rFonts w:cstheme="minorHAnsi"/>
                <w:sz w:val="20"/>
                <w:szCs w:val="20"/>
              </w:rPr>
              <w:t>działaniami wirtualnymi/zdalnymi, jak również ogólnym zarządzaniem i koordynacją.</w:t>
            </w:r>
          </w:p>
          <w:p w14:paraId="413BA0E1" w14:textId="5442E046" w:rsidR="00E26622" w:rsidRPr="00130108" w:rsidRDefault="00130108" w:rsidP="008824ED">
            <w:pPr>
              <w:pStyle w:val="Default"/>
              <w:ind w:left="720"/>
              <w:jc w:val="both"/>
              <w:rPr>
                <w:sz w:val="20"/>
                <w:szCs w:val="20"/>
              </w:rPr>
            </w:pPr>
            <w:r>
              <w:rPr>
                <w:rFonts w:cstheme="minorHAnsi"/>
                <w:sz w:val="20"/>
                <w:szCs w:val="20"/>
              </w:rPr>
              <w:t>[</w:t>
            </w:r>
            <w:r w:rsidR="00E26622" w:rsidRPr="00130108">
              <w:rPr>
                <w:rFonts w:cstheme="minorHAnsi"/>
                <w:sz w:val="20"/>
                <w:szCs w:val="20"/>
              </w:rPr>
              <w:t>Koszty mogą obejmować:</w:t>
            </w:r>
            <w:r w:rsidR="00EA5D11">
              <w:rPr>
                <w:rFonts w:cstheme="minorHAnsi"/>
                <w:sz w:val="20"/>
                <w:szCs w:val="20"/>
              </w:rPr>
              <w:t xml:space="preserve"> udział ekspertów zewnętrznych,</w:t>
            </w:r>
            <w:r w:rsidR="00E26622" w:rsidRPr="00130108">
              <w:rPr>
                <w:rFonts w:cstheme="minorHAnsi"/>
                <w:sz w:val="20"/>
                <w:szCs w:val="20"/>
              </w:rPr>
              <w:t xml:space="preserve"> produkcję dokumentów lub materiałów edukacyjnych, wynajem</w:t>
            </w:r>
            <w:r>
              <w:rPr>
                <w:rFonts w:cstheme="minorHAnsi"/>
                <w:sz w:val="20"/>
                <w:szCs w:val="20"/>
              </w:rPr>
              <w:t xml:space="preserve"> </w:t>
            </w:r>
            <w:proofErr w:type="spellStart"/>
            <w:r>
              <w:rPr>
                <w:rFonts w:cstheme="minorHAnsi"/>
                <w:sz w:val="20"/>
                <w:szCs w:val="20"/>
              </w:rPr>
              <w:t>sal</w:t>
            </w:r>
            <w:proofErr w:type="spellEnd"/>
            <w:r>
              <w:rPr>
                <w:rFonts w:cstheme="minorHAnsi"/>
                <w:sz w:val="20"/>
                <w:szCs w:val="20"/>
              </w:rPr>
              <w:t xml:space="preserve">, </w:t>
            </w:r>
            <w:r w:rsidR="00E26622" w:rsidRPr="00130108">
              <w:rPr>
                <w:rFonts w:cstheme="minorHAnsi"/>
                <w:sz w:val="20"/>
                <w:szCs w:val="20"/>
              </w:rPr>
              <w:t>wynajem sprzętu, wyjazdy w teren,</w:t>
            </w:r>
            <w:r w:rsidR="00EA5D11">
              <w:rPr>
                <w:rFonts w:cstheme="minorHAnsi"/>
                <w:sz w:val="20"/>
                <w:szCs w:val="20"/>
              </w:rPr>
              <w:t xml:space="preserve"> wizyty studyjne,</w:t>
            </w:r>
            <w:r w:rsidR="00E26622" w:rsidRPr="00130108">
              <w:rPr>
                <w:rFonts w:cstheme="minorHAnsi"/>
                <w:sz w:val="20"/>
                <w:szCs w:val="20"/>
              </w:rPr>
              <w:t xml:space="preserve"> wycieczki, działania komunikacyjne</w:t>
            </w:r>
            <w:r>
              <w:rPr>
                <w:rFonts w:cstheme="minorHAnsi"/>
                <w:sz w:val="20"/>
                <w:szCs w:val="20"/>
              </w:rPr>
              <w:t xml:space="preserve">, </w:t>
            </w:r>
            <w:r w:rsidR="00E26622" w:rsidRPr="00130108">
              <w:rPr>
                <w:rFonts w:cstheme="minorHAnsi"/>
                <w:sz w:val="20"/>
                <w:szCs w:val="20"/>
              </w:rPr>
              <w:t xml:space="preserve">tłumaczenia pisemne i ustne, </w:t>
            </w:r>
            <w:r w:rsidR="00EA5D11">
              <w:rPr>
                <w:rFonts w:cstheme="minorHAnsi"/>
                <w:sz w:val="20"/>
                <w:szCs w:val="20"/>
              </w:rPr>
              <w:t xml:space="preserve">materiały i narzędzia, licencje, </w:t>
            </w:r>
            <w:r w:rsidR="00E26622" w:rsidRPr="00130108">
              <w:rPr>
                <w:rFonts w:cstheme="minorHAnsi"/>
                <w:sz w:val="20"/>
                <w:szCs w:val="20"/>
              </w:rPr>
              <w:t>wizyty przygotowawcze i zadania administracyjne.</w:t>
            </w:r>
            <w:r>
              <w:rPr>
                <w:rFonts w:cstheme="minorHAnsi"/>
                <w:sz w:val="20"/>
                <w:szCs w:val="20"/>
              </w:rPr>
              <w:t>]</w:t>
            </w:r>
          </w:p>
          <w:p w14:paraId="122B3E07" w14:textId="4BA1BE4C" w:rsidR="00181397" w:rsidRDefault="00181397" w:rsidP="00130108">
            <w:pPr>
              <w:pStyle w:val="Default"/>
              <w:rPr>
                <w:sz w:val="20"/>
                <w:szCs w:val="20"/>
              </w:rPr>
            </w:pPr>
          </w:p>
        </w:tc>
      </w:tr>
    </w:tbl>
    <w:p w14:paraId="77575B47" w14:textId="29FED9E1" w:rsidR="00450D8E" w:rsidRDefault="00450D8E" w:rsidP="00F82266"/>
    <w:sectPr w:rsidR="00450D8E" w:rsidSect="00A824E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145"/>
    <w:multiLevelType w:val="hybridMultilevel"/>
    <w:tmpl w:val="6E449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1619BA"/>
    <w:multiLevelType w:val="hybridMultilevel"/>
    <w:tmpl w:val="626AE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CC4A39"/>
    <w:multiLevelType w:val="hybridMultilevel"/>
    <w:tmpl w:val="AC84D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300E7E"/>
    <w:multiLevelType w:val="hybridMultilevel"/>
    <w:tmpl w:val="6068C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085987"/>
    <w:multiLevelType w:val="hybridMultilevel"/>
    <w:tmpl w:val="9072CA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235219A"/>
    <w:multiLevelType w:val="hybridMultilevel"/>
    <w:tmpl w:val="8D92B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AE262D"/>
    <w:multiLevelType w:val="hybridMultilevel"/>
    <w:tmpl w:val="F8BA8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2387285">
    <w:abstractNumId w:val="2"/>
  </w:num>
  <w:num w:numId="2" w16cid:durableId="1444037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186194">
    <w:abstractNumId w:val="3"/>
  </w:num>
  <w:num w:numId="4" w16cid:durableId="2000959363">
    <w:abstractNumId w:val="6"/>
  </w:num>
  <w:num w:numId="5" w16cid:durableId="1601570556">
    <w:abstractNumId w:val="0"/>
  </w:num>
  <w:num w:numId="6" w16cid:durableId="1016539560">
    <w:abstractNumId w:val="5"/>
  </w:num>
  <w:num w:numId="7" w16cid:durableId="133518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5025"/>
    <w:rsid w:val="00063D33"/>
    <w:rsid w:val="00130108"/>
    <w:rsid w:val="00147B4F"/>
    <w:rsid w:val="00180EFF"/>
    <w:rsid w:val="00181397"/>
    <w:rsid w:val="00334B5E"/>
    <w:rsid w:val="003643FF"/>
    <w:rsid w:val="00450D8E"/>
    <w:rsid w:val="00472352"/>
    <w:rsid w:val="006B4E8D"/>
    <w:rsid w:val="006C2B86"/>
    <w:rsid w:val="00752E0F"/>
    <w:rsid w:val="008824ED"/>
    <w:rsid w:val="009C1EED"/>
    <w:rsid w:val="009E14A5"/>
    <w:rsid w:val="00A824E7"/>
    <w:rsid w:val="00AC59CD"/>
    <w:rsid w:val="00C66B06"/>
    <w:rsid w:val="00E26622"/>
    <w:rsid w:val="00EA5D11"/>
    <w:rsid w:val="00F558F0"/>
    <w:rsid w:val="00F82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74D7"/>
  <w15:chartTrackingRefBased/>
  <w15:docId w15:val="{184FDCE3-75DB-49FD-9DED-9865234F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63D33"/>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50D8E"/>
    <w:pPr>
      <w:ind w:left="720"/>
      <w:contextualSpacing/>
    </w:pPr>
  </w:style>
  <w:style w:type="table" w:styleId="Tabela-Siatka">
    <w:name w:val="Table Grid"/>
    <w:basedOn w:val="Standardowy"/>
    <w:uiPriority w:val="39"/>
    <w:rsid w:val="00F8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47B4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1002">
      <w:bodyDiv w:val="1"/>
      <w:marLeft w:val="0"/>
      <w:marRight w:val="0"/>
      <w:marTop w:val="0"/>
      <w:marBottom w:val="0"/>
      <w:divBdr>
        <w:top w:val="none" w:sz="0" w:space="0" w:color="auto"/>
        <w:left w:val="none" w:sz="0" w:space="0" w:color="auto"/>
        <w:bottom w:val="none" w:sz="0" w:space="0" w:color="auto"/>
        <w:right w:val="none" w:sz="0" w:space="0" w:color="auto"/>
      </w:divBdr>
    </w:div>
    <w:div w:id="18189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1385</Words>
  <Characters>8314</Characters>
  <Application>Microsoft Office Word</Application>
  <DocSecurity>4</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Opałka</dc:creator>
  <cp:keywords/>
  <dc:description/>
  <cp:lastModifiedBy>Anna Opałka</cp:lastModifiedBy>
  <cp:revision>2</cp:revision>
  <dcterms:created xsi:type="dcterms:W3CDTF">2022-12-20T12:19:00Z</dcterms:created>
  <dcterms:modified xsi:type="dcterms:W3CDTF">2022-12-20T12:19:00Z</dcterms:modified>
</cp:coreProperties>
</file>